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4F41" w14:textId="77777777" w:rsidR="0049266B" w:rsidRDefault="0049266B" w:rsidP="0049266B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</w:rPr>
        <w:t>附件</w:t>
      </w:r>
      <w:r>
        <w:rPr>
          <w:rFonts w:ascii="Times New Roman" w:eastAsia="黑体" w:hAnsi="Times New Roman"/>
          <w:snapToGrid w:val="0"/>
          <w:sz w:val="32"/>
          <w:szCs w:val="32"/>
        </w:rPr>
        <w:t>7</w:t>
      </w:r>
    </w:p>
    <w:p w14:paraId="3B6D3DF1" w14:textId="77777777" w:rsidR="0049266B" w:rsidRDefault="0049266B" w:rsidP="0049266B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32"/>
          <w:szCs w:val="32"/>
        </w:rPr>
      </w:pPr>
    </w:p>
    <w:p w14:paraId="68EE0B68" w14:textId="77777777" w:rsidR="0049266B" w:rsidRDefault="0049266B" w:rsidP="0049266B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评分指标</w:t>
      </w:r>
    </w:p>
    <w:p w14:paraId="0F389237" w14:textId="77777777" w:rsidR="0049266B" w:rsidRDefault="0049266B" w:rsidP="0049266B">
      <w:pPr>
        <w:overflowPunct w:val="0"/>
        <w:snapToGrid w:val="0"/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084DFE02" w14:textId="77777777" w:rsidR="0049266B" w:rsidRDefault="0049266B" w:rsidP="0049266B">
      <w:pPr>
        <w:overflowPunct w:val="0"/>
        <w:rPr>
          <w:rFonts w:ascii="Times New Roman" w:eastAsia="黑体" w:hAnsi="Times New Roman"/>
          <w:sz w:val="24"/>
          <w:szCs w:val="20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80"/>
        <w:gridCol w:w="7893"/>
      </w:tblGrid>
      <w:tr w:rsidR="0049266B" w14:paraId="6CD6FFB4" w14:textId="77777777" w:rsidTr="00730CF8">
        <w:trPr>
          <w:cantSplit/>
          <w:trHeight w:val="556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331644C8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bookmarkStart w:id="0" w:name="_Hlk10491916"/>
            <w:r>
              <w:rPr>
                <w:rFonts w:ascii="Times New Roman" w:eastAsia="黑体" w:hAnsi="Times New Roman"/>
                <w:sz w:val="24"/>
                <w:szCs w:val="28"/>
              </w:rPr>
              <w:t>评价</w:t>
            </w:r>
          </w:p>
          <w:p w14:paraId="78596D04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9B833C8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分</w:t>
            </w:r>
          </w:p>
          <w:p w14:paraId="4AA746EA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值</w:t>
            </w:r>
          </w:p>
        </w:tc>
        <w:tc>
          <w:tcPr>
            <w:tcW w:w="7893" w:type="dxa"/>
            <w:shd w:val="clear" w:color="auto" w:fill="auto"/>
            <w:vAlign w:val="center"/>
          </w:tcPr>
          <w:p w14:paraId="0E584EE2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Times New Roman"/>
                <w:sz w:val="24"/>
                <w:szCs w:val="28"/>
              </w:rPr>
              <w:t>评价要素</w:t>
            </w:r>
          </w:p>
        </w:tc>
      </w:tr>
      <w:tr w:rsidR="0049266B" w14:paraId="0BA9C2CA" w14:textId="77777777" w:rsidTr="00730CF8">
        <w:trPr>
          <w:cantSplit/>
          <w:trHeight w:val="810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0F1C80CC" w14:textId="77777777" w:rsidR="0049266B" w:rsidRDefault="0049266B" w:rsidP="00730CF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班情</w:t>
            </w:r>
          </w:p>
          <w:p w14:paraId="5385D4DF" w14:textId="77777777" w:rsidR="0049266B" w:rsidRDefault="0049266B" w:rsidP="00730CF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与</w:t>
            </w:r>
          </w:p>
          <w:p w14:paraId="504442C8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目标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5C2CF57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15</w:t>
            </w:r>
          </w:p>
        </w:tc>
        <w:tc>
          <w:tcPr>
            <w:tcW w:w="7893" w:type="dxa"/>
            <w:shd w:val="clear" w:color="auto" w:fill="auto"/>
            <w:vAlign w:val="center"/>
          </w:tcPr>
          <w:p w14:paraId="7D9930E4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对学生个体、班级人员组成结构等情况和班级所属专业的人才培养目标、专业特点、总体教学内容、有关行业岗位要求实际等掌握清楚，学生成长变化跟踪及时。</w:t>
            </w:r>
          </w:p>
          <w:p w14:paraId="78F5976E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班级情况分析深入，对建班育人实践中需重点关注的工作领域、学生个体以及可能面临的困难、需要重点解决的问题判断准确。参加决赛时对所抽定的班级活动主题和模拟情景领会到位，育人元素、要求、内容把握恰当。</w:t>
            </w:r>
          </w:p>
          <w:p w14:paraId="00BF59DD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班级建设目标创设科学合理，适应新时代对高素质劳动者和技术技能人才培养的新要求，符合国家有关规定和工作要求，将立德树人放在首要位置，强调培育学生的理想信念，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践行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社会主义核心价值观，树立正确的职业理想，激发学习兴趣，培养精益求精的工匠精神和爱岗敬业的劳动态度。坚持班级整体建设与学生个体培养有机统一。</w:t>
            </w:r>
          </w:p>
          <w:p w14:paraId="47E73359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班级建设目标、主题班会目标、班级活动目标（决赛）表述清晰明确、语言规范、符合实际，重点突出、可评可测。</w:t>
            </w:r>
          </w:p>
        </w:tc>
      </w:tr>
      <w:tr w:rsidR="0049266B" w14:paraId="763D09EA" w14:textId="77777777" w:rsidTr="00730CF8">
        <w:trPr>
          <w:cantSplit/>
          <w:trHeight w:val="810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0AA27C14" w14:textId="77777777" w:rsidR="0049266B" w:rsidRDefault="0049266B" w:rsidP="00730CF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lastRenderedPageBreak/>
              <w:t>内容</w:t>
            </w:r>
          </w:p>
          <w:p w14:paraId="167EC3B1" w14:textId="77777777" w:rsidR="0049266B" w:rsidRDefault="0049266B" w:rsidP="00730CF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与</w:t>
            </w:r>
          </w:p>
          <w:p w14:paraId="1826082A" w14:textId="77777777" w:rsidR="0049266B" w:rsidRDefault="0049266B" w:rsidP="00730CF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613E2D7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</w:t>
            </w:r>
          </w:p>
        </w:tc>
        <w:tc>
          <w:tcPr>
            <w:tcW w:w="7893" w:type="dxa"/>
            <w:shd w:val="clear" w:color="auto" w:fill="auto"/>
            <w:vAlign w:val="center"/>
          </w:tcPr>
          <w:p w14:paraId="43F212B2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班级建设内容、途径和方法有效支撑班级建设目标的实现。</w:t>
            </w:r>
          </w:p>
          <w:p w14:paraId="38C4002B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班级建设内容突出习近平新时代中国特色社会主义思想教育，党史、新中国史、改革开放史、社会主义发展史教育和爱国主义、集体主义、社会主义教育，深入开展劳动教育、中华优秀传统文化传承与创新，加强安全教育、法治教育、卫生健康教育和心理健康教育等。</w:t>
            </w:r>
          </w:p>
          <w:p w14:paraId="524752BA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注重行为规范养成教育，制度规范与自我教育、自我管理、自我服务、自我约束、自我保护相结合，树立优良班风学风，培养良好的职业道德、职业素养和职业行为习惯。班级活动主题明确、形式多样、安排科学合理、贴近学生实际，时代性、趣味性、针对性和实效性强。过程系统优化，资源、技术应用预想合理，方法手段设计恰当，评价考核考虑周全，鼓励、指导及时有效。</w:t>
            </w:r>
          </w:p>
          <w:p w14:paraId="153D92FF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突出学生主体、教师主导，坚持以心育心、以德育德、以人格育人格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。班级建设策略选取合理、依据科学，针对性、实效性强，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工作方式易于被学生接受和理解。注重调动、整合运用各方面资源、力量，形成育人合力。</w:t>
            </w:r>
          </w:p>
        </w:tc>
      </w:tr>
      <w:tr w:rsidR="0049266B" w14:paraId="37537A83" w14:textId="77777777" w:rsidTr="00730CF8">
        <w:trPr>
          <w:cantSplit/>
          <w:trHeight w:val="323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EB24893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实施</w:t>
            </w:r>
          </w:p>
          <w:p w14:paraId="3896FEE7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与</w:t>
            </w:r>
          </w:p>
          <w:p w14:paraId="13BDB30C" w14:textId="77777777" w:rsidR="0049266B" w:rsidRDefault="0049266B" w:rsidP="00730CF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F8A7FA4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35</w:t>
            </w:r>
          </w:p>
        </w:tc>
        <w:tc>
          <w:tcPr>
            <w:tcW w:w="7893" w:type="dxa"/>
            <w:shd w:val="clear" w:color="auto" w:fill="auto"/>
            <w:vAlign w:val="center"/>
          </w:tcPr>
          <w:p w14:paraId="2F4F9DD5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体现先进教育思想和育人理念，遵循教育教学规律、思想政治工作规律和技术技能人才成长规律，符合中等职业学校办学实际和中职学生思想、行为特点，因材施教。</w:t>
            </w:r>
          </w:p>
          <w:p w14:paraId="1C66B38C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关注班级工作的整体推进和对学生个体的关心关爱，思想工作深入到位，班级管理规范有序，班级活动覆盖面广、参与度高，学生积极参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8"/>
              </w:rPr>
              <w:t>与“文明风采”活动等，班级学生发展兴趣爱好、参加竞赛竞技、参与志愿服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务、展示才艺特长的成效显著，展现积极向上的精神风貌。</w:t>
            </w:r>
          </w:p>
          <w:p w14:paraId="2B02BA0F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职业指导针对性强，符合社会需要和学生个体特点、实际，学生职业素养明显提升，顺利实现就业、创业或升学。与班级学生、任课教师、家长、社区、企业沟通深入有效，协同育人效果明显，在学生顶岗实习期间，与实习单位共同做好学生的教育和管理工作。突发事件应对预案周密，处理妥善、及时，合理运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8"/>
              </w:rPr>
              <w:t>用“两微一端”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等新技术、新载体提高育人实效。</w:t>
            </w:r>
          </w:p>
          <w:p w14:paraId="22A88DC5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按照班级建设方案扎实推进建班育人，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开展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育人全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过程的信息采集，跟踪学生成长发展情况并细致分析，能够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定期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对照班级建设目标和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实际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达成进度，及时调整班级管理策略，积极反思改进。班级建设目标有效达成。</w:t>
            </w:r>
          </w:p>
        </w:tc>
      </w:tr>
      <w:tr w:rsidR="0049266B" w14:paraId="7351CDC4" w14:textId="77777777" w:rsidTr="00730CF8">
        <w:trPr>
          <w:cantSplit/>
          <w:trHeight w:val="1322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88FB30F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lastRenderedPageBreak/>
              <w:t>素养</w:t>
            </w:r>
          </w:p>
          <w:p w14:paraId="5BD4F427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与</w:t>
            </w:r>
          </w:p>
          <w:p w14:paraId="13A774BB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表现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A35E761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15</w:t>
            </w:r>
          </w:p>
        </w:tc>
        <w:tc>
          <w:tcPr>
            <w:tcW w:w="7893" w:type="dxa"/>
            <w:shd w:val="clear" w:color="auto" w:fill="auto"/>
            <w:vAlign w:val="center"/>
          </w:tcPr>
          <w:p w14:paraId="20FA259E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自觉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践行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教师职业行为十项准则，充分展现新时代中等职业学校班主任良好的师德师风、育人能力，做以德立身、以德立学、以德施教、以德育德的楷模。</w:t>
            </w:r>
          </w:p>
          <w:p w14:paraId="3781ECC6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教师育人态度认真、严谨规范、表述清晰、组织协调有条不紊、亲和力强，注重针对学生的个体差异因材施教。</w:t>
            </w:r>
          </w:p>
          <w:p w14:paraId="0E65419F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班级建设方案实施情况总结客观真实反映、深刻反思建班育人的成效与不足，提出班级建设的改进设想。</w:t>
            </w:r>
          </w:p>
          <w:p w14:paraId="5D93347F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决赛的情况介绍、现场展示和回答提问，熟悉学生情况、聚焦主题、科学准确、思路清晰、逻辑严谨、研究深入、手段得当、简洁明了、表达流畅。</w:t>
            </w:r>
          </w:p>
        </w:tc>
      </w:tr>
      <w:tr w:rsidR="0049266B" w14:paraId="695411EF" w14:textId="77777777" w:rsidTr="00730CF8">
        <w:trPr>
          <w:cantSplit/>
          <w:trHeight w:val="606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244FCC0B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特色</w:t>
            </w:r>
          </w:p>
          <w:p w14:paraId="245394F2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585BE50" w14:textId="77777777" w:rsidR="0049266B" w:rsidRDefault="0049266B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15</w:t>
            </w:r>
          </w:p>
        </w:tc>
        <w:tc>
          <w:tcPr>
            <w:tcW w:w="7893" w:type="dxa"/>
            <w:shd w:val="clear" w:color="auto" w:fill="auto"/>
            <w:vAlign w:val="center"/>
          </w:tcPr>
          <w:p w14:paraId="66E2D7F4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能够引导学生树立正确的理想信念、学会正确的思维方法、培育正确的劳动观念、良好的职业素养，增强学生职业荣誉感。</w:t>
            </w:r>
          </w:p>
          <w:p w14:paraId="2783A421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能够创新育人模式和方法，给学生深刻、美好的成长体验和更多的获得感。能够与时俱进地提高信息技术应用能力，创新实施网络育人，推进班级建设，注重提升对立德树人工作的研究探索能力。</w:t>
            </w:r>
          </w:p>
          <w:p w14:paraId="003C3C77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能够密切关注建班育人实践中出现的新情况新问题，研究应对策略和方法。善于跟踪社会舆论热点，第一时间分析挖掘可能包含的正面因素和负面影响，对学生有效正确引导。</w:t>
            </w:r>
          </w:p>
          <w:p w14:paraId="21E856BB" w14:textId="77777777" w:rsidR="0049266B" w:rsidRDefault="0049266B" w:rsidP="00730CF8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建班育人模式和方法具有较高借鉴和推广价值，特别是妥善应对新冠肺炎疫情等罕见突发事件，做好特殊条件下的班级管理、沟通联络、学生关怀。</w:t>
            </w:r>
          </w:p>
        </w:tc>
      </w:tr>
      <w:bookmarkEnd w:id="0"/>
    </w:tbl>
    <w:p w14:paraId="5940E96C" w14:textId="77777777" w:rsidR="0049266B" w:rsidRDefault="0049266B" w:rsidP="0049266B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</w:p>
    <w:p w14:paraId="79E11D6E" w14:textId="77777777" w:rsidR="0042299D" w:rsidRPr="0049266B" w:rsidRDefault="0042299D"/>
    <w:sectPr w:rsidR="0042299D" w:rsidRPr="0049266B">
      <w:pgSz w:w="11906" w:h="16838"/>
      <w:pgMar w:top="2098" w:right="1474" w:bottom="1985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497F" w14:textId="77777777" w:rsidR="00AD5134" w:rsidRDefault="00AD5134" w:rsidP="0049266B">
      <w:r>
        <w:separator/>
      </w:r>
    </w:p>
  </w:endnote>
  <w:endnote w:type="continuationSeparator" w:id="0">
    <w:p w14:paraId="00B7E986" w14:textId="77777777" w:rsidR="00AD5134" w:rsidRDefault="00AD5134" w:rsidP="004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1715" w14:textId="77777777" w:rsidR="00AD5134" w:rsidRDefault="00AD5134" w:rsidP="0049266B">
      <w:r>
        <w:separator/>
      </w:r>
    </w:p>
  </w:footnote>
  <w:footnote w:type="continuationSeparator" w:id="0">
    <w:p w14:paraId="56549F39" w14:textId="77777777" w:rsidR="00AD5134" w:rsidRDefault="00AD5134" w:rsidP="0049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70"/>
    <w:rsid w:val="00325A70"/>
    <w:rsid w:val="0042299D"/>
    <w:rsid w:val="0049266B"/>
    <w:rsid w:val="00A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96AF2-23D3-4838-80D3-BFDDDB84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6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端</dc:creator>
  <cp:keywords/>
  <dc:description/>
  <cp:lastModifiedBy>胡 端</cp:lastModifiedBy>
  <cp:revision>2</cp:revision>
  <dcterms:created xsi:type="dcterms:W3CDTF">2021-09-16T02:38:00Z</dcterms:created>
  <dcterms:modified xsi:type="dcterms:W3CDTF">2021-09-16T02:38:00Z</dcterms:modified>
</cp:coreProperties>
</file>